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75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88"/>
        <w:gridCol w:w="1599"/>
        <w:gridCol w:w="780"/>
        <w:gridCol w:w="1746"/>
        <w:gridCol w:w="2450"/>
        <w:gridCol w:w="4875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重庆市万州区劳务经济开发有限公司招聘派遣教学人员岗位一览表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招聘机构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8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5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汽车系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钣喷实训教师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1.机械类相关专业；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2.持有高级及以上职业资格证书者可放宽到大专学历；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3.有中职（或高中）教师资格证和教学工作经验优先录用。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  <w:t>基本工资2100元/月，加上课时费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，综合工资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3000-6000元；依法参加社会保险。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机电实训教师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汽车理论教师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财贸系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限男性教师，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1.工商管理类专业，研究生学历优先，能认真履行岗位职责，工作责任心强；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2.有较强的语言表达能力，五官端正，口齿清晰。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机械电子系</w:t>
            </w:r>
          </w:p>
        </w:tc>
        <w:tc>
          <w:tcPr>
            <w:tcW w:w="1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机械专业教师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1.机械类相关专业；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2.持有高级及以上职业资格证书者可放宽到大专学历；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3.有中职（或高中）教师资格证和教学工作经验优先录用。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电工专业教师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飞机维修专业教师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建筑系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1.林业工程类、设计类相关专业；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2.能胜任家具设计课程教学，有中职（或高中）教师资格证和教学工作经验优先录用。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  <w:t>基本工资2100元/月，加上课时费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，综合工资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3000-6000元；依法参加社会保险。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职业能力核心建设中心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1.数学教育及相关专业；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2.能胜任数学课程教学，擅长多媒体课件制作；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3.有中职（或高中）教师资格证和教学工作经验优先录用。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1.思政相关、相近专业；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2.能胜任思政课程教学，擅长多媒体课件制作；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3.有中职（或高中）教师资格证和教学工作经验优先录用。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1体育教育教学相关专业；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2.能胜任体育课程教学，有中职（或高中）教师资格证和教学工作经验优先录用。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心理辅导员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1.思想政治专业、心理学专业、教育学等相关专业；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2.热爱高校学生思想政治教育工作，责任心强，善于沟通，具有较强的组织管理能力、语言文字表达能力和理论研究能力。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科普辅导员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女性45岁以下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男性50岁以下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1.专业不限；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2.有志于从事科普教育事业，具有扎实专业基础知识，较强的专业技能水平及语言表达能力。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567" w:bottom="180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hkOGJlZjgwNjY5OWFkNzNmMDI1YjQzZDliOTEifQ=="/>
  </w:docVars>
  <w:rsids>
    <w:rsidRoot w:val="29BF69CC"/>
    <w:rsid w:val="29B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方正仿宋_GBK" w:hAnsi="方正仿宋_GBK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2023-06-30T09:27:00Z</dcterms:created>
  <dc:creator>那年花开正艳</dc:creator>
  <cp:lastModifiedBy>那年花开正艳</cp:lastModifiedBy>
  <dcterms:modified xsi:type="dcterms:W3CDTF">2023-06-30T09:28:36Z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0ED66973B54B453AB1083B78E0B4D330_11</vt:lpwstr>
  </property>
</Properties>
</file>